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C63549">
      <w:pPr>
        <w:spacing/>
        <w:rPr>
          <w:rFonts w:eastAsia="Calibri" w:cstheme="minorHAnsi"/>
        </w:rPr>
      </w:pPr>
      <w:r>
        <w:rPr>
          <w:rFonts w:eastAsia="Calibri" w:cstheme="minorHAnsi"/>
          <w:b/>
        </w:rPr>
        <w:t xml:space="preserve">                                                                                                                </w:t>
      </w:r>
      <w:r>
        <w:rPr>
          <w:rFonts w:eastAsia="Calibri"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2" w:name="_Hlk187744167"/>
    </w:p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pacing w:after="160" w:line="259" w:lineRule="auto"/>
              <w:rPr>
                <w:rFonts w:eastAsia="Calibri" w:cstheme="minorHAnsi"/>
              </w:rPr>
            </w:pPr>
            <w:bookmarkStart w:id="3" w:name="_Hlk128748807"/>
            <w:r>
              <w:rPr>
                <w:rFonts w:eastAsia="Calibri" w:cstheme="minorHAnsi"/>
                <w:b/>
                <w:bCs/>
              </w:rPr>
              <w:t xml:space="preserve">OSNOVNA ŠKOLA „JESENICE</w:t>
            </w:r>
            <w:r>
              <w:rPr>
                <w:rFonts w:eastAsia="Calibri" w:cstheme="minorHAnsi"/>
              </w:rPr>
              <w:t xml:space="preserve">“                                                                                                      Đački put 10, 21315 Dugi Rat                                                                                                      KLASA: </w:t>
            </w:r>
            <w:r>
              <w:rPr>
                <w:rFonts w:eastAsia="Calibri" w:cstheme="minorHAnsi"/>
                <w:noProof/>
                <w:color w:val="000000"/>
                <w:sz w:val="24"/>
                <w:lang w:val="en-US" w:eastAsia="hr-HR"/>
              </w:rPr>
              <w:t xml:space="preserve">112-02/26-01/5</w:t>
            </w:r>
            <w:r>
              <w:rPr>
                <w:rFonts w:eastAsia="Calibri" w:cstheme="minorHAnsi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="Calibri" w:cstheme="minorHAnsi"/>
                <w:noProof/>
              </w:rPr>
              <w:t xml:space="preserve">2181-275-26-4</w:t>
            </w:r>
            <w:r>
              <w:rPr>
                <w:rFonts w:eastAsia="Calibri" w:cstheme="minorHAnsi"/>
              </w:rPr>
              <w:t xml:space="preserve">                                                                                                           Dugi Rat, </w:t>
            </w:r>
            <w:r>
              <w:rPr>
                <w:rFonts w:eastAsia="Calibri" w:cstheme="minorHAnsi"/>
              </w:rPr>
              <w:t xml:space="preserve">8</w:t>
            </w:r>
            <w:r>
              <w:rPr>
                <w:rFonts w:eastAsia="Calibri" w:cstheme="minorHAnsi"/>
              </w:rPr>
              <w:t xml:space="preserve">. </w:t>
            </w:r>
            <w:r>
              <w:rPr>
                <w:rFonts w:eastAsia="Calibri" w:cstheme="minorHAnsi"/>
              </w:rPr>
              <w:t xml:space="preserve">svibnja </w:t>
            </w:r>
            <w:r>
              <w:rPr>
                <w:rFonts w:eastAsia="Calibri" w:cstheme="minorHAnsi"/>
              </w:rPr>
              <w:t xml:space="preserve">2026.g.</w:t>
            </w:r>
          </w:p>
        </w:tc>
        <w:tc>
          <w:tcPr>
            <w:tcW w:type="dxa" w:w="2693"/>
            <w:tcBorders/>
          </w:tcPr>
          <w:p>
            <w:pPr>
              <w:spacing w:after="160" w:line="259" w:lineRule="auto"/>
              <w:jc w:val="right"/>
              <w:rPr>
                <w:rFonts w:eastAsia="Calibri" w:cstheme="minorHAnsi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  <w:bookmarkEnd w:id="3"/>
    </w:tbl>
    <w:p w14:paraId="58405D0D">
      <w:pPr>
        <w:pStyle w:val="Tijeloteksta"/>
        <w:tabs>
          <w:tab w:val="left" w:pos="2977"/>
        </w:tabs>
        <w:spacing w:line="276" w:lineRule="auto"/>
        <w:rPr>
          <w:rFonts w:asciiTheme="minorHAnsi" w:hAnsiTheme="minorHAnsi" w:cstheme="minorHAnsi"/>
          <w:sz w:val="24"/>
          <w:lang w:eastAsia="hr-HR"/>
        </w:rPr>
      </w:pPr>
    </w:p>
    <w:p w14:paraId="383E8FCB">
      <w:pPr>
        <w:pStyle w:val="Tijeloteksta"/>
        <w:tabs>
          <w:tab w:val="left" w:pos="2977"/>
        </w:tabs>
        <w:spacing w:line="276" w:lineRule="auto"/>
        <w:rPr>
          <w:rFonts w:asciiTheme="minorHAnsi" w:hAnsiTheme="minorHAnsi" w:cstheme="minorHAnsi"/>
          <w:b/>
          <w:bCs/>
          <w:sz w:val="24"/>
          <w:lang w:eastAsia="hr-HR"/>
        </w:rPr>
      </w:pPr>
      <w:r>
        <w:rPr>
          <w:rFonts w:asciiTheme="minorHAnsi" w:hAnsiTheme="minorHAnsi" w:cstheme="minorHAnsi"/>
          <w:b/>
          <w:bCs/>
          <w:sz w:val="24"/>
          <w:lang w:eastAsia="hr-HR"/>
        </w:rPr>
        <w:t xml:space="preserve"> </w:t>
      </w:r>
      <w:r>
        <w:rPr>
          <w:rFonts w:asciiTheme="minorHAnsi" w:hAnsiTheme="minorHAnsi" w:cstheme="minorHAnsi"/>
          <w:b/>
          <w:bCs/>
          <w:sz w:val="24"/>
          <w:lang w:eastAsia="hr-HR"/>
        </w:rPr>
        <w:t xml:space="preserve">Povjerenstvo za procjenu i vrednovanje kandidata za zapošljavanje</w:t>
      </w:r>
    </w:p>
    <w:p w14:paraId="155FA530">
      <w:pPr>
        <w:pStyle w:val="Tijeloteksta"/>
        <w:tabs>
          <w:tab w:val="left" w:pos="2977"/>
        </w:tabs>
        <w:spacing w:line="276" w:lineRule="auto"/>
        <w:rPr>
          <w:rFonts w:asciiTheme="minorHAnsi" w:hAnsiTheme="minorHAnsi" w:cstheme="minorHAnsi"/>
          <w:b/>
          <w:bCs/>
          <w:sz w:val="24"/>
          <w:lang w:eastAsia="hr-HR"/>
        </w:rPr>
      </w:pPr>
      <w:r>
        <w:rPr>
          <w:rFonts w:asciiTheme="minorHAnsi" w:hAnsiTheme="minorHAnsi" w:cstheme="minorHAnsi"/>
          <w:b/>
          <w:bCs/>
          <w:sz w:val="24"/>
          <w:lang w:eastAsia="hr-HR"/>
        </w:rPr>
        <w:t xml:space="preserve">OŠ Jesenice</w:t>
      </w:r>
    </w:p>
    <w:p w14:paraId="531F30F1">
      <w:pPr>
        <w:pStyle w:val="Tijeloteksta"/>
        <w:tabs>
          <w:tab w:val="left" w:pos="2977"/>
        </w:tabs>
        <w:spacing w:line="276" w:lineRule="auto"/>
        <w:rPr>
          <w:rFonts w:asciiTheme="minorHAnsi" w:hAnsiTheme="minorHAnsi" w:cstheme="minorHAnsi"/>
          <w:b/>
          <w:bCs/>
          <w:sz w:val="24"/>
        </w:rPr>
      </w:pPr>
    </w:p>
    <w:p w14:paraId="6EA5715A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Na temelju članka 107. stavka 9. Zakona o odgoju i obrazovanju u osnovnoj i srednjoj školi ( Narodne</w:t>
      </w:r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r>
        <w:rPr>
          <w:rFonts w:eastAsia="Times New Roman" w:cstheme="minorHAnsi"/>
          <w:sz w:val="24"/>
          <w:szCs w:val="24"/>
          <w:lang w:eastAsia="hr-HR"/>
        </w:rPr>
        <w:t xml:space="preserve">novine broj 87/08., 86/09., 92/10., 105/10., 90/11, 16/12., 86/12., 94/13., 152/14., 7/17., 68/18., 98/19.  64/20., 151/22</w:t>
      </w:r>
      <w:r>
        <w:rPr>
          <w:rFonts w:eastAsia="Times New Roman" w:cstheme="minorHAnsi"/>
          <w:sz w:val="24"/>
          <w:szCs w:val="24"/>
          <w:lang w:eastAsia="hr-HR"/>
        </w:rPr>
        <w:t xml:space="preserve">,</w:t>
      </w:r>
      <w:r>
        <w:rPr>
          <w:rFonts w:eastAsia="Times New Roman" w:cstheme="minorHAnsi"/>
          <w:sz w:val="24"/>
          <w:szCs w:val="24"/>
          <w:lang w:eastAsia="hr-HR"/>
        </w:rPr>
        <w:t xml:space="preserve"> 155/23 i 156/23) i članka 14. stavka 4. i 5. i članka 15. Pravilnika o postupku zapošljavanja te procjeni i vrednovanju kandidata za zapošljavanje Osnovne škole Jesenice </w:t>
      </w:r>
      <w:r>
        <w:rPr>
          <w:rFonts w:cstheme="minorHAnsi"/>
          <w:color w:val="000000"/>
          <w:sz w:val="24"/>
          <w:szCs w:val="24"/>
        </w:rPr>
        <w:t xml:space="preserve">te Pravilnika o izmjenama i dopunama Pravilnika o postupku zapošljavanja te procjeni i vrednovanju kandidata</w:t>
      </w:r>
      <w:r>
        <w:rPr>
          <w:rFonts w:eastAsia="Times New Roman" w:cstheme="minorHAnsi"/>
          <w:sz w:val="24"/>
          <w:szCs w:val="24"/>
          <w:lang w:eastAsia="hr-HR"/>
        </w:rPr>
        <w:t xml:space="preserve">, Povjerenstvo za procjenu i vrednovanje kandidata za zapošljavanje (u daljnjem tekstu: Povjerenstvo) donosi:</w:t>
      </w:r>
    </w:p>
    <w:p w14:paraId="5BFA87CC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353891EC">
      <w:pPr>
        <w:spacing w:after="0" w:line="276" w:lineRule="auto"/>
        <w:rPr>
          <w:rFonts w:eastAsia="Times New Roman" w:cstheme="minorHAnsi"/>
          <w:sz w:val="24"/>
          <w:szCs w:val="24"/>
          <w:lang w:eastAsia="hr-HR"/>
        </w:rPr>
      </w:pPr>
    </w:p>
    <w:p w14:paraId="5642EB64">
      <w:pPr>
        <w:spacing w:after="0" w:line="276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sz w:val="24"/>
          <w:szCs w:val="24"/>
          <w:lang w:eastAsia="hr-HR"/>
        </w:rPr>
        <w:t xml:space="preserve">O D L U K U</w:t>
      </w:r>
    </w:p>
    <w:p w14:paraId="604D414E">
      <w:pPr>
        <w:spacing w:after="0" w:line="276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>
        <w:rPr>
          <w:rFonts w:eastAsia="Times New Roman" w:cstheme="minorHAnsi"/>
          <w:b/>
          <w:sz w:val="24"/>
          <w:szCs w:val="24"/>
          <w:lang w:eastAsia="hr-HR"/>
        </w:rPr>
        <w:t xml:space="preserve">o načinu procjene odnosno testiranja kandidata prijavljenih na natječaj</w:t>
      </w:r>
    </w:p>
    <w:p w14:paraId="0ECF2F58">
      <w:pPr>
        <w:spacing w:after="0" w:line="276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</w:p>
    <w:p w14:paraId="3D580CEC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I.</w:t>
      </w:r>
    </w:p>
    <w:p w14:paraId="75F49E49">
      <w:pPr>
        <w:spacing w:after="0" w:line="276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Provest će se usmena procjena odnosno testiranje i vrednovanje kandidata prijavljenih na natječaj objavljen dana </w:t>
      </w:r>
      <w:r>
        <w:rPr>
          <w:rFonts w:eastAsia="Times New Roman" w:cstheme="minorHAnsi"/>
          <w:sz w:val="24"/>
          <w:szCs w:val="24"/>
          <w:lang w:eastAsia="hr-HR"/>
        </w:rPr>
        <w:t xml:space="preserve">16</w:t>
      </w:r>
      <w:r>
        <w:rPr>
          <w:rFonts w:eastAsia="Times New Roman" w:cstheme="minorHAnsi"/>
          <w:sz w:val="24"/>
          <w:szCs w:val="24"/>
          <w:lang w:eastAsia="hr-HR"/>
        </w:rPr>
        <w:t xml:space="preserve">.</w:t>
      </w:r>
      <w:r>
        <w:rPr>
          <w:rFonts w:eastAsia="Times New Roman" w:cstheme="minorHAnsi"/>
          <w:sz w:val="24"/>
          <w:szCs w:val="24"/>
          <w:lang w:eastAsia="hr-HR"/>
        </w:rPr>
        <w:t xml:space="preserve">ožujka</w:t>
      </w:r>
      <w:r>
        <w:rPr>
          <w:rFonts w:eastAsia="Times New Roman" w:cstheme="minorHAnsi"/>
          <w:sz w:val="24"/>
          <w:szCs w:val="24"/>
          <w:lang w:eastAsia="hr-HR"/>
        </w:rPr>
        <w:t xml:space="preserve"> 2026. godine na mrežnim stranicama i oglasnim pločama Hrvatskog zavoda za zapošljavanje te mrežnoj stranici i oglasnoj ploči Osnovne škole Jesenice  </w:t>
      </w:r>
      <w:r>
        <w:rPr>
          <w:rFonts w:eastAsia="Times New Roman" w:cstheme="minorHAnsi"/>
          <w:sz w:val="24"/>
          <w:szCs w:val="24"/>
          <w:lang w:eastAsia="hr-HR"/>
        </w:rPr>
        <w:t xml:space="preserve">za </w:t>
      </w:r>
      <w:r>
        <w:rPr>
          <w:rFonts w:eastAsia="Times New Roman" w:cstheme="minorHAnsi"/>
          <w:sz w:val="24"/>
          <w:szCs w:val="24"/>
          <w:lang w:eastAsia="hr-HR"/>
        </w:rPr>
        <w:t xml:space="preserve">radno mjesto:</w:t>
      </w:r>
      <w:r>
        <w:rPr>
          <w:rFonts w:eastAsia="Times New Roman" w:cstheme="minorHAnsi"/>
          <w:sz w:val="24"/>
          <w:szCs w:val="24"/>
          <w:lang w:eastAsia="hr-HR"/>
        </w:rPr>
        <w:br/>
      </w:r>
    </w:p>
    <w:p w14:paraId="44694D95">
      <w:pPr>
        <w:pStyle w:val="Odlomakpopisa"/>
        <w:numPr>
          <w:ilvl w:val="0"/>
          <w:numId w:val="12"/>
        </w:num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Stručni suradnik- Psiholog</w:t>
      </w:r>
      <w:r>
        <w:rPr>
          <w:rFonts w:cstheme="minorHAnsi"/>
          <w:sz w:val="24"/>
          <w:szCs w:val="24"/>
        </w:rPr>
        <w:t xml:space="preserve"> -1 izvršitelj na određeno</w:t>
      </w:r>
      <w:r>
        <w:rPr>
          <w:rFonts w:cstheme="minorHAnsi"/>
          <w:sz w:val="24"/>
          <w:szCs w:val="24"/>
        </w:rPr>
        <w:t xml:space="preserve"> (do 31.10.2026.)</w:t>
      </w:r>
      <w:r>
        <w:rPr>
          <w:rFonts w:cstheme="minorHAnsi"/>
          <w:sz w:val="24"/>
          <w:szCs w:val="24"/>
        </w:rPr>
        <w:t xml:space="preserve"> puno radno vrijeme</w:t>
      </w:r>
      <w:r>
        <w:rPr>
          <w:rFonts w:cstheme="minorHAnsi"/>
          <w:sz w:val="24"/>
          <w:szCs w:val="24"/>
        </w:rPr>
        <w:t xml:space="preserve"> </w:t>
      </w:r>
    </w:p>
    <w:p w14:paraId="16D218BC">
      <w:pPr>
        <w:pStyle w:val="Odlomakpopisa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50BA257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II.</w:t>
      </w:r>
    </w:p>
    <w:p w14:paraId="7A5FA65D">
      <w:pPr>
        <w:pStyle w:val="Bezproreda1"/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Povjerenstvo će najmanje pet dana prije dana određenog za procjenu odnosno testiranje poziv na procjenu odnosno testiranje objaviti na mrežnoj stranici Osnovne škole Jesenice </w:t>
      </w:r>
      <w:r>
        <w:rPr/>
        <w:fldChar w:fldCharType="begin"/>
      </w:r>
      <w:r>
        <w:rPr/>
        <w:instrText xml:space="preserve">HYPERLINK "http://os-jesenice-dugirat.skole.hr/natjecaji" </w:instrText>
      </w:r>
      <w:r>
        <w:rPr/>
        <w:fldChar w:fldCharType="separate"/>
      </w:r>
      <w:r>
        <w:rPr>
          <w:rStyle w:val="Hiperveza"/>
          <w:rFonts w:cstheme="minorHAnsi"/>
        </w:rPr>
        <w:t xml:space="preserve">http://os-jesenice-dugirat.skole.hr/natjecaji</w:t>
      </w:r>
      <w:r>
        <w:rPr/>
        <w:fldChar w:fldCharType="end"/>
      </w:r>
      <w:r>
        <w:rPr>
          <w:rFonts w:cstheme="minorHAnsi"/>
        </w:rPr>
        <w:t xml:space="preserve"> te ga elektroničkim putem dostaviti svim kandidatima koji su pravodobno dostavili potpunu i vlastoručno potpisanu prijavu sa svim prilozima odnosno ispravama i koji ispunjavaju uvjete natječaja.</w:t>
      </w:r>
    </w:p>
    <w:p w14:paraId="427E37EB">
      <w:pPr>
        <w:pStyle w:val="Bezproreda1"/>
        <w:spacing w:line="276" w:lineRule="auto"/>
        <w:jc w:val="both"/>
        <w:rPr>
          <w:rFonts w:cstheme="minorHAnsi"/>
        </w:rPr>
      </w:pPr>
    </w:p>
    <w:p w14:paraId="7F340F34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III.</w:t>
      </w:r>
    </w:p>
    <w:p w14:paraId="0B38401F">
      <w:pPr>
        <w:spacing w:after="0" w:line="276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Kandidat koji ne pristupi vrednovanju smatra se da je odustao od prijave na natječaj i više se ne smatra</w:t>
      </w:r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r>
        <w:rPr>
          <w:rFonts w:eastAsia="Times New Roman" w:cstheme="minorHAnsi"/>
          <w:sz w:val="24"/>
          <w:szCs w:val="24"/>
          <w:lang w:eastAsia="hr-HR"/>
        </w:rPr>
        <w:t xml:space="preserve">kandidatom u natječajnom postupku.</w:t>
      </w:r>
    </w:p>
    <w:p w14:paraId="08008D0D">
      <w:pPr>
        <w:spacing w:after="0" w:line="276" w:lineRule="auto"/>
        <w:rPr>
          <w:rFonts w:eastAsia="Times New Roman" w:cstheme="minorHAnsi"/>
          <w:sz w:val="24"/>
          <w:szCs w:val="24"/>
          <w:lang w:eastAsia="hr-HR"/>
        </w:rPr>
      </w:pPr>
    </w:p>
    <w:p w14:paraId="182FF082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IV.</w:t>
      </w:r>
    </w:p>
    <w:p w14:paraId="022A7B54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Usmeno testiranje svaki član Povjerenstva vrednuje bodovima od 0 do 5 bodova.</w:t>
      </w:r>
      <w:r>
        <w:rPr>
          <w:rFonts w:eastAsia="Times New Roman" w:cstheme="minorHAnsi"/>
          <w:sz w:val="24"/>
          <w:szCs w:val="24"/>
          <w:lang w:eastAsia="hr-HR"/>
        </w:rPr>
        <w:br/>
      </w:r>
      <w:r>
        <w:rPr>
          <w:rFonts w:eastAsia="Times New Roman" w:cstheme="minorHAnsi"/>
          <w:sz w:val="24"/>
          <w:szCs w:val="24"/>
          <w:lang w:eastAsia="hr-HR"/>
        </w:rPr>
        <w:t xml:space="preserve">Smatra se da je kandidat zadovoljio na usmenom testiranju ako je ostvario najmanje 50% bodova od</w:t>
      </w:r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r>
        <w:rPr>
          <w:rFonts w:eastAsia="Times New Roman" w:cstheme="minorHAnsi"/>
          <w:sz w:val="24"/>
          <w:szCs w:val="24"/>
          <w:lang w:eastAsia="hr-HR"/>
        </w:rPr>
        <w:t xml:space="preserve">ukupnog broja bodova svih članova Povjerenstva.</w:t>
      </w:r>
    </w:p>
    <w:p w14:paraId="32C9FFA9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A61CE71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V.</w:t>
      </w:r>
    </w:p>
    <w:p w14:paraId="65397993">
      <w:pPr>
        <w:spacing w:after="0" w:line="276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Povjerenstvo utvrđuje da je područje procjene odnosno testiranja kandidata:</w:t>
      </w:r>
    </w:p>
    <w:p w14:paraId="68F9E2E7">
      <w:pPr>
        <w:pStyle w:val="Odlomakpopisa"/>
        <w:numPr>
          <w:ilvl w:val="0"/>
          <w:numId w:val="10"/>
        </w:numPr>
        <w:spacing w:after="0" w:line="276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poznavanje propisa koji se odnose na djelatnost osnovnog obrazovanja,</w:t>
      </w:r>
    </w:p>
    <w:p w14:paraId="5582A457">
      <w:pPr>
        <w:pStyle w:val="Odlomakpopisa"/>
        <w:numPr>
          <w:ilvl w:val="0"/>
          <w:numId w:val="10"/>
        </w:numPr>
        <w:spacing w:after="0" w:line="276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stručno - pedagoške i metodičke kompetencije.</w:t>
      </w:r>
    </w:p>
    <w:p w14:paraId="0FE77114">
      <w:pPr>
        <w:pStyle w:val="Odlomakpopisa"/>
        <w:spacing w:after="0" w:line="276" w:lineRule="auto"/>
        <w:rPr>
          <w:rFonts w:eastAsia="Times New Roman" w:cstheme="minorHAnsi"/>
          <w:sz w:val="24"/>
          <w:szCs w:val="24"/>
          <w:lang w:eastAsia="hr-HR"/>
        </w:rPr>
      </w:pPr>
    </w:p>
    <w:p w14:paraId="3CE9CD14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VI.</w:t>
      </w:r>
    </w:p>
    <w:p w14:paraId="706D56AC">
      <w:pPr>
        <w:spacing w:after="0" w:line="276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Pravni i drugi izvori za pripremanje kandidata za vrednovanje:</w:t>
      </w:r>
    </w:p>
    <w:p w14:paraId="2DA2FF98">
      <w:pPr>
        <w:pStyle w:val="Odlomakpopisa"/>
        <w:numPr>
          <w:ilvl w:val="0"/>
          <w:numId w:val="14"/>
        </w:numPr>
        <w:spacing w:after="0" w:line="276" w:lineRule="auto"/>
        <w:rPr>
          <w:rFonts w:eastAsia="Times New Roman" w:cstheme="minorHAnsi"/>
          <w:sz w:val="24"/>
          <w:szCs w:val="24"/>
          <w:lang w:eastAsia="hr-HR"/>
        </w:rPr>
      </w:pPr>
      <w:bookmarkStart w:id="4" w:name="_Hlk54360254"/>
      <w:r>
        <w:rPr>
          <w:rFonts w:eastAsia="Times New Roman" w:cstheme="minorHAnsi"/>
          <w:sz w:val="24"/>
          <w:szCs w:val="24"/>
          <w:lang w:eastAsia="hr-HR"/>
        </w:rPr>
        <w:t xml:space="preserve">Zakon o odgoju i obrazovanju u osnovnoj i srednjoj školi (NN 87/08., 86/09., 92/10., 105/10., 90/11.,16/12., 86/12., 94/13., 152/14., 7/17. i 68/18., 98/19., 64/20.</w:t>
      </w:r>
      <w:r>
        <w:rPr>
          <w:rFonts w:eastAsia="Times New Roman" w:cstheme="minorHAnsi"/>
          <w:sz w:val="24"/>
          <w:szCs w:val="24"/>
          <w:lang w:eastAsia="hr-HR"/>
        </w:rPr>
        <w:t xml:space="preserve">,151/22.,155/23</w:t>
      </w:r>
      <w:r>
        <w:rPr>
          <w:rFonts w:eastAsia="Times New Roman" w:cstheme="minorHAnsi"/>
          <w:sz w:val="24"/>
          <w:szCs w:val="24"/>
          <w:lang w:eastAsia="hr-HR"/>
        </w:rPr>
        <w:t xml:space="preserve">)</w:t>
      </w:r>
    </w:p>
    <w:p w14:paraId="61342E7A">
      <w:pPr>
        <w:pStyle w:val="Odlomakpopisa"/>
        <w:numPr>
          <w:ilvl w:val="0"/>
          <w:numId w:val="14"/>
        </w:numPr>
        <w:spacing w:after="0" w:line="276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Pravilnik o načinima, postupcima i elementima vrednovanja učenika u osnovnoj i srednjoj školi (NN 112/2010., 82/19.</w:t>
      </w:r>
      <w:r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, 43/20 i 100/21</w:t>
      </w:r>
      <w:r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)</w:t>
      </w:r>
    </w:p>
    <w:p w14:paraId="29E7EA5E">
      <w:pPr>
        <w:pStyle w:val="Odlomakpopisa"/>
        <w:widowControl w:val="false"/>
        <w:numPr>
          <w:ilvl w:val="0"/>
          <w:numId w:val="14"/>
        </w:numPr>
        <w:tabs>
          <w:tab w:val="left" w:pos="598"/>
          <w:tab w:val="left" w:pos="599"/>
          <w:tab w:val="left" w:pos="1822"/>
          <w:tab w:val="left" w:pos="2242"/>
          <w:tab w:val="left" w:pos="4290"/>
          <w:tab w:val="left" w:pos="4659"/>
          <w:tab w:val="left" w:pos="6615"/>
          <w:tab w:val="left" w:pos="7594"/>
          <w:tab w:val="left" w:pos="7963"/>
        </w:tabs>
        <w:autoSpaceDE w:val="false"/>
        <w:autoSpaceDN w:val="false"/>
        <w:spacing w:after="0" w:line="276" w:lineRule="auto"/>
        <w:ind w:right="115"/>
        <w:rPr>
          <w:rFonts w:cstheme="minorHAnsi"/>
          <w:bCs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</w:rPr>
        <w:t xml:space="preserve">   </w:t>
      </w:r>
      <w:r>
        <w:rPr>
          <w:rFonts w:cstheme="minorHAnsi"/>
          <w:sz w:val="24"/>
          <w:szCs w:val="24"/>
        </w:rPr>
        <w:t xml:space="preserve">Pravilnik o osnovnoškolskom i srednjoškolskom odgoju i </w:t>
      </w:r>
      <w:r>
        <w:rPr>
          <w:rFonts w:cstheme="minorHAnsi"/>
          <w:spacing w:val="-3"/>
          <w:sz w:val="24"/>
          <w:szCs w:val="24"/>
        </w:rPr>
        <w:t xml:space="preserve">obrazovanju </w:t>
      </w:r>
      <w:r>
        <w:rPr>
          <w:rFonts w:cstheme="minorHAnsi"/>
          <w:sz w:val="24"/>
          <w:szCs w:val="24"/>
        </w:rPr>
        <w:t xml:space="preserve">učenika s teškoćama u razvoju </w:t>
      </w:r>
      <w:r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(Narodne novine, broj 24/15.)</w:t>
      </w:r>
    </w:p>
    <w:p w14:paraId="4116EF24">
      <w:pPr>
        <w:pStyle w:val="Odlomakpopisa"/>
        <w:widowControl w:val="false"/>
        <w:numPr>
          <w:ilvl w:val="0"/>
          <w:numId w:val="14"/>
        </w:numPr>
        <w:tabs>
          <w:tab w:val="left" w:pos="598"/>
          <w:tab w:val="left" w:pos="599"/>
          <w:tab w:val="left" w:pos="1822"/>
          <w:tab w:val="left" w:pos="2242"/>
          <w:tab w:val="left" w:pos="4290"/>
          <w:tab w:val="left" w:pos="4659"/>
          <w:tab w:val="left" w:pos="6615"/>
          <w:tab w:val="left" w:pos="7594"/>
          <w:tab w:val="left" w:pos="7963"/>
        </w:tabs>
        <w:autoSpaceDE w:val="false"/>
        <w:autoSpaceDN w:val="false"/>
        <w:spacing w:after="0" w:line="276" w:lineRule="auto"/>
        <w:ind w:right="115"/>
        <w:rPr>
          <w:rFonts w:cstheme="minorHAnsi"/>
          <w:bCs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  </w:t>
      </w:r>
      <w:r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Pravilnik o kriterijima za izricanje pedagoških mjera (Narodne novine, broj 94/15., 3/17 i 22/26)</w:t>
      </w:r>
    </w:p>
    <w:bookmarkEnd w:id="4"/>
    <w:p w14:paraId="27E10D80">
      <w:pPr>
        <w:pStyle w:val="Tijeloteksta"/>
        <w:spacing w:line="276" w:lineRule="auto"/>
        <w:ind w:left="116" w:right="113"/>
        <w:rPr>
          <w:rFonts w:asciiTheme="minorHAnsi" w:hAnsiTheme="minorHAnsi" w:cstheme="minorHAnsi"/>
          <w:i/>
          <w:sz w:val="24"/>
        </w:rPr>
      </w:pPr>
    </w:p>
    <w:p w14:paraId="7FCF9DAB">
      <w:pPr>
        <w:widowControl w:val="false"/>
        <w:tabs>
          <w:tab w:val="left" w:pos="598"/>
          <w:tab w:val="left" w:pos="599"/>
          <w:tab w:val="left" w:pos="1822"/>
          <w:tab w:val="left" w:pos="2242"/>
          <w:tab w:val="left" w:pos="4290"/>
          <w:tab w:val="left" w:pos="4659"/>
          <w:tab w:val="left" w:pos="6615"/>
          <w:tab w:val="left" w:pos="7594"/>
          <w:tab w:val="left" w:pos="7963"/>
        </w:tabs>
        <w:autoSpaceDE w:val="false"/>
        <w:autoSpaceDN w:val="false"/>
        <w:spacing w:after="0" w:line="276" w:lineRule="auto"/>
        <w:ind w:right="115"/>
        <w:rPr>
          <w:rFonts w:cstheme="minorHAnsi"/>
          <w:sz w:val="24"/>
          <w:szCs w:val="24"/>
        </w:rPr>
      </w:pPr>
    </w:p>
    <w:p w14:paraId="5AE0B5D6">
      <w:pPr>
        <w:spacing w:after="0" w:line="276" w:lineRule="auto"/>
        <w:ind w:firstLine="708"/>
        <w:jc w:val="right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       Povjerenstvo za procjenu i vrednovanje kandidata</w:t>
      </w:r>
    </w:p>
    <w:p w14:paraId="79ACB160">
      <w:pPr>
        <w:spacing w:after="0" w:line="276" w:lineRule="auto"/>
        <w:ind w:firstLine="708"/>
        <w:jc w:val="right"/>
        <w:rPr>
          <w:rFonts w:eastAsia="Times New Roman" w:cstheme="minorHAnsi"/>
          <w:sz w:val="24"/>
          <w:szCs w:val="24"/>
          <w:lang w:eastAsia="hr-HR"/>
        </w:rPr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charset w:val="238"/>
    <w:family w:val="swiss"/>
    <w:pitch w:val="variable"/>
    <w:sig w:usb0="00000287" w:usb1="00000800" w:usb2="00000000" w:usb3="00000000" w:csb0="0000009F" w:csb1="00000000"/>
  </w:font>
  <w:font w:name="Calibri">
    <w:charset w:val="238"/>
    <w:family w:val="swiss"/>
    <w:pitch w:val="variable"/>
    <w:sig w:usb0="E4002EFF" w:usb1="C2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Segoe UI">
    <w:charset w:val="238"/>
    <w:family w:val="swiss"/>
    <w:pitch w:val="variable"/>
    <w:sig w:usb0="E4002EFF" w:usb1="C000E47F" w:usb2="00000009" w:usb3="00000000" w:csb0="000001FF" w:csb1="00000000"/>
  </w:font>
  <w:font w:name="Calibri Light">
    <w:charset w:val="238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367FE"/>
    <w:lvl w:ilvl="0">
      <w:start w:val="4"/>
      <w:numFmt w:val="bullet"/>
      <w:suff w:val="tab"/>
      <w:lvlText w:val="-"/>
      <w:pPr>
        <w:spacing/>
        <w:ind w:left="567" w:hanging="207"/>
      </w:pPr>
      <w:rPr>
        <w:rFonts w:ascii="Arial Narrow" w:hAnsi="Arial Narrow" w:eastAsiaTheme="minorHAnsi" w:cstheme="minorBid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09AC2B2F"/>
    <w:lvl w:ilvl="0">
      <w:start w:val="4"/>
      <w:numFmt w:val="bullet"/>
      <w:suff w:val="tab"/>
      <w:lvlText w:val="-"/>
      <w:pPr>
        <w:spacing/>
        <w:ind w:left="1003" w:hanging="1003"/>
      </w:pPr>
      <w:rPr>
        <w:rFonts w:ascii="Arial Narrow" w:hAnsi="Arial Narrow" w:eastAsiaTheme="minorHAnsi" w:cstheme="minorBid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0C62306D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Arial Narrow" w:hAnsi="Arial Narrow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0D133E4A"/>
    <w:lvl w:ilvl="0">
      <w:start w:val="1"/>
      <w:numFmt w:val="decimal"/>
      <w:suff w:val="tab"/>
      <w:lvlText w:val="%1."/>
      <w:pPr>
        <w:spacing/>
        <w:ind w:left="116" w:hanging="255"/>
      </w:pPr>
      <w:rPr>
        <w:rFonts w:ascii="Times New Roman" w:hAnsi="Times New Roman" w:eastAsia="Times New Roman" w:cs="Times New Roman" w:hint="default"/>
        <w:b/>
        <w:bCs/>
        <w:i/>
        <w:w w:val="100"/>
        <w:sz w:val="24"/>
        <w:szCs w:val="24"/>
        <w:lang w:val="hr-HR" w:eastAsia="hr-HR" w:bidi="hr-HR"/>
      </w:rPr>
    </w:lvl>
    <w:lvl w:ilvl="1">
      <w:start w:val="0"/>
      <w:numFmt w:val="bullet"/>
      <w:suff w:val="tab"/>
      <w:lvlText w:val="•"/>
      <w:pPr>
        <w:spacing/>
        <w:ind w:left="1038" w:hanging="255"/>
      </w:pPr>
      <w:rPr>
        <w:rFonts w:hint="default"/>
        <w:lang w:val="hr-HR" w:eastAsia="hr-HR" w:bidi="hr-HR"/>
      </w:rPr>
    </w:lvl>
    <w:lvl w:ilvl="2">
      <w:start w:val="0"/>
      <w:numFmt w:val="bullet"/>
      <w:suff w:val="tab"/>
      <w:lvlText w:val="•"/>
      <w:pPr>
        <w:spacing/>
        <w:ind w:left="1957" w:hanging="255"/>
      </w:pPr>
      <w:rPr>
        <w:rFonts w:hint="default"/>
        <w:lang w:val="hr-HR" w:eastAsia="hr-HR" w:bidi="hr-HR"/>
      </w:rPr>
    </w:lvl>
    <w:lvl w:ilvl="3">
      <w:start w:val="0"/>
      <w:numFmt w:val="bullet"/>
      <w:suff w:val="tab"/>
      <w:lvlText w:val="•"/>
      <w:pPr>
        <w:spacing/>
        <w:ind w:left="2875" w:hanging="255"/>
      </w:pPr>
      <w:rPr>
        <w:rFonts w:hint="default"/>
        <w:lang w:val="hr-HR" w:eastAsia="hr-HR" w:bidi="hr-HR"/>
      </w:rPr>
    </w:lvl>
    <w:lvl w:ilvl="4">
      <w:start w:val="0"/>
      <w:numFmt w:val="bullet"/>
      <w:suff w:val="tab"/>
      <w:lvlText w:val="•"/>
      <w:pPr>
        <w:spacing/>
        <w:ind w:left="3794" w:hanging="255"/>
      </w:pPr>
      <w:rPr>
        <w:rFonts w:hint="default"/>
        <w:lang w:val="hr-HR" w:eastAsia="hr-HR" w:bidi="hr-HR"/>
      </w:rPr>
    </w:lvl>
    <w:lvl w:ilvl="5">
      <w:start w:val="0"/>
      <w:numFmt w:val="bullet"/>
      <w:suff w:val="tab"/>
      <w:lvlText w:val="•"/>
      <w:pPr>
        <w:spacing/>
        <w:ind w:left="4713" w:hanging="255"/>
      </w:pPr>
      <w:rPr>
        <w:rFonts w:hint="default"/>
        <w:lang w:val="hr-HR" w:eastAsia="hr-HR" w:bidi="hr-HR"/>
      </w:rPr>
    </w:lvl>
    <w:lvl w:ilvl="6">
      <w:start w:val="0"/>
      <w:numFmt w:val="bullet"/>
      <w:suff w:val="tab"/>
      <w:lvlText w:val="•"/>
      <w:pPr>
        <w:spacing/>
        <w:ind w:left="5631" w:hanging="255"/>
      </w:pPr>
      <w:rPr>
        <w:rFonts w:hint="default"/>
        <w:lang w:val="hr-HR" w:eastAsia="hr-HR" w:bidi="hr-HR"/>
      </w:rPr>
    </w:lvl>
    <w:lvl w:ilvl="7">
      <w:start w:val="0"/>
      <w:numFmt w:val="bullet"/>
      <w:suff w:val="tab"/>
      <w:lvlText w:val="•"/>
      <w:pPr>
        <w:spacing/>
        <w:ind w:left="6550" w:hanging="255"/>
      </w:pPr>
      <w:rPr>
        <w:rFonts w:hint="default"/>
        <w:lang w:val="hr-HR" w:eastAsia="hr-HR" w:bidi="hr-HR"/>
      </w:rPr>
    </w:lvl>
    <w:lvl w:ilvl="8">
      <w:start w:val="0"/>
      <w:numFmt w:val="bullet"/>
      <w:suff w:val="tab"/>
      <w:lvlText w:val="•"/>
      <w:pPr>
        <w:spacing/>
        <w:ind w:left="7469" w:hanging="255"/>
      </w:pPr>
      <w:rPr>
        <w:rFonts w:hint="default"/>
        <w:lang w:val="hr-HR" w:eastAsia="hr-HR" w:bidi="hr-HR"/>
      </w:rPr>
    </w:lvl>
  </w:abstractNum>
  <w:abstractNum w:abstractNumId="4">
    <w:nsid w:val="0D74439A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suff w:val="tab"/>
      <w:lvlText w:val=""/>
      <w:pPr>
        <w:tabs>
          <w:tab w:val="num" w:pos="2880"/>
        </w:tabs>
        <w:spacing/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suff w:val="tab"/>
      <w:lvlText w:val=""/>
      <w:pPr>
        <w:tabs>
          <w:tab w:val="num" w:pos="3600"/>
        </w:tabs>
        <w:spacing/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suff w:val="tab"/>
      <w:lvlText w:val=""/>
      <w:pPr>
        <w:tabs>
          <w:tab w:val="num" w:pos="5040"/>
        </w:tabs>
        <w:spacing/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suff w:val="tab"/>
      <w:lvlText w:val=""/>
      <w:pPr>
        <w:tabs>
          <w:tab w:val="num" w:pos="5760"/>
        </w:tabs>
        <w:spacing/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51473E"/>
    <w:lvl w:ilvl="0">
      <w:start w:val="4"/>
      <w:numFmt w:val="bullet"/>
      <w:suff w:val="tab"/>
      <w:lvlText w:val="-"/>
      <w:pPr>
        <w:spacing/>
        <w:ind w:left="927" w:hanging="567"/>
      </w:pPr>
      <w:rPr>
        <w:rFonts w:ascii="Arial Narrow" w:hAnsi="Arial Narrow" w:eastAsiaTheme="minorHAnsi" w:cstheme="minorBid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6">
    <w:nsid w:val="383D3AA9"/>
    <w:lvl w:ilvl="0">
      <w:start w:val="4"/>
      <w:numFmt w:val="bullet"/>
      <w:suff w:val="tab"/>
      <w:lvlText w:val="-"/>
      <w:pPr>
        <w:spacing/>
        <w:ind w:left="465" w:hanging="360"/>
      </w:pPr>
      <w:rPr>
        <w:rFonts w:ascii="Arial Narrow" w:hAnsi="Arial Narrow" w:eastAsiaTheme="minorHAnsi" w:cstheme="minorBidi" w:hint="default"/>
      </w:rPr>
    </w:lvl>
    <w:lvl w:ilvl="1">
      <w:start w:val="1"/>
      <w:numFmt w:val="bullet"/>
      <w:suff w:val="tab"/>
      <w:lvlText w:val="o"/>
      <w:pPr>
        <w:spacing/>
        <w:ind w:left="118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905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625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34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065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785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50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225" w:hanging="360"/>
      </w:pPr>
      <w:rPr>
        <w:rFonts w:ascii="Wingdings" w:hAnsi="Wingdings" w:hint="default"/>
      </w:rPr>
    </w:lvl>
  </w:abstractNum>
  <w:abstractNum w:abstractNumId="7">
    <w:nsid w:val="3E12050C"/>
    <w:lvl w:ilvl="0">
      <w:start w:val="4"/>
      <w:numFmt w:val="bullet"/>
      <w:suff w:val="tab"/>
      <w:lvlText w:val="-"/>
      <w:pPr>
        <w:spacing/>
        <w:ind w:left="567" w:hanging="567"/>
      </w:pPr>
      <w:rPr>
        <w:rFonts w:ascii="Arial Narrow" w:hAnsi="Arial Narrow" w:eastAsiaTheme="minorHAnsi" w:cstheme="minorBid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8">
    <w:nsid w:val="3E660D21"/>
    <w:lvl w:ilvl="0">
      <w:start w:val="4"/>
      <w:numFmt w:val="bullet"/>
      <w:suff w:val="tab"/>
      <w:lvlText w:val="-"/>
      <w:pPr>
        <w:spacing/>
        <w:ind w:left="927" w:hanging="567"/>
      </w:pPr>
      <w:rPr>
        <w:rFonts w:ascii="Arial Narrow" w:hAnsi="Arial Narrow" w:eastAsiaTheme="minorHAnsi" w:cstheme="minorBid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9">
    <w:nsid w:val="4CDD0B33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0">
    <w:nsid w:val="52530F4C"/>
    <w:lvl w:ilvl="0">
      <w:start w:val="4"/>
      <w:numFmt w:val="bullet"/>
      <w:suff w:val="tab"/>
      <w:lvlText w:val="-"/>
      <w:pPr>
        <w:spacing/>
        <w:ind w:left="720" w:hanging="360"/>
      </w:pPr>
      <w:rPr>
        <w:rFonts w:ascii="Arial Narrow" w:hAnsi="Arial Narrow" w:eastAsiaTheme="minorHAnsi" w:cstheme="minorBid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1">
    <w:nsid w:val="5F6F6935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2">
    <w:nsid w:val="64530B24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3">
    <w:nsid w:val="66D012BE"/>
    <w:lvl w:ilvl="0">
      <w:start w:val="4"/>
      <w:numFmt w:val="bullet"/>
      <w:suff w:val="tab"/>
      <w:lvlText w:val="-"/>
      <w:pPr>
        <w:spacing/>
        <w:ind w:left="794" w:hanging="681"/>
      </w:pPr>
      <w:rPr>
        <w:rFonts w:ascii="Arial Narrow" w:hAnsi="Arial Narrow" w:eastAsiaTheme="minorHAnsi" w:cstheme="minorBid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4">
    <w:nsid w:val="678368CF"/>
    <w:lvl w:ilvl="0">
      <w:start w:val="4"/>
      <w:numFmt w:val="bullet"/>
      <w:suff w:val="tab"/>
      <w:lvlText w:val="-"/>
      <w:pPr>
        <w:spacing/>
        <w:ind w:left="465" w:hanging="360"/>
      </w:pPr>
      <w:rPr>
        <w:rFonts w:ascii="Arial Narrow" w:hAnsi="Arial Narrow" w:eastAsiaTheme="minorHAnsi" w:cstheme="minorBidi" w:hint="default"/>
      </w:rPr>
    </w:lvl>
    <w:lvl w:ilvl="1">
      <w:start w:val="1"/>
      <w:numFmt w:val="bullet"/>
      <w:suff w:val="tab"/>
      <w:lvlText w:val="o"/>
      <w:pPr>
        <w:spacing/>
        <w:ind w:left="118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905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625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34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065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785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50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225" w:hanging="360"/>
      </w:pPr>
      <w:rPr>
        <w:rFonts w:ascii="Wingdings" w:hAnsi="Wingdings" w:hint="default"/>
      </w:rPr>
    </w:lvl>
  </w:abstractNum>
  <w:abstractNum w:abstractNumId="15">
    <w:nsid w:val="6A5A59E8"/>
    <w:lvl w:ilvl="0">
      <w:start w:val="1"/>
      <w:numFmt w:val="bullet"/>
      <w:suff w:val="tab"/>
      <w:lvlText w:val=""/>
      <w:pPr>
        <w:spacing/>
        <w:ind w:left="836" w:hanging="360"/>
      </w:pPr>
      <w:rPr>
        <w:rFonts w:ascii="Wingdings" w:hAnsi="Wingdings" w:hint="default"/>
      </w:rPr>
    </w:lvl>
    <w:lvl w:ilvl="1">
      <w:start w:val="1"/>
      <w:numFmt w:val="bullet"/>
      <w:suff w:val="tab"/>
      <w:lvlText w:val="o"/>
      <w:pPr>
        <w:spacing/>
        <w:ind w:left="1556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276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996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716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436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156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876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596" w:hanging="360"/>
      </w:pPr>
      <w:rPr>
        <w:rFonts w:ascii="Wingdings" w:hAnsi="Wingdings" w:hint="default"/>
      </w:rPr>
    </w:lvl>
  </w:abstractNum>
  <w:abstractNum w:abstractNumId="16">
    <w:nsid w:val="6C60697A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7">
    <w:nsid w:val="6E935B79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Arial Narrow" w:hAnsi="Arial Narrow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8">
    <w:nsid w:val="6F747E92"/>
    <w:lvl w:ilvl="0">
      <w:start w:val="4"/>
      <w:numFmt w:val="bullet"/>
      <w:suff w:val="tab"/>
      <w:lvlText w:val="-"/>
      <w:pPr>
        <w:spacing/>
        <w:ind w:left="927" w:hanging="643"/>
      </w:pPr>
      <w:rPr>
        <w:rFonts w:ascii="Arial Narrow" w:hAnsi="Arial Narrow" w:eastAsiaTheme="minorHAnsi" w:cstheme="minorBid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4"/>
    </w:rPr>
  </w:style>
  <w:style w:type="character" w:styleId="TijelotekstaChar" w:customStyle="1">
    <w:name w:val="Tijelo teksta Char"/>
    <w:basedOn w:val="Zadanifontodlomka"/>
    <w:link w:val="BodyText"/>
    <w:rPr>
      <w:rFonts w:ascii="Times New Roman" w:hAnsi="Times New Roman" w:eastAsia="Times New Roman" w:cs="Times New Roman"/>
      <w:sz w:val="28"/>
      <w:szCs w:val="24"/>
    </w:rPr>
  </w:style>
  <w:style w:type="paragraph" w:styleId="Odlomakpopisa">
    <w:name w:val="List Paragraph"/>
    <w:basedOn w:val="Normal"/>
    <w:uiPriority w:val="1"/>
    <w:qFormat/>
    <w:pPr>
      <w:spacing/>
      <w:ind w:left="720"/>
      <w:contextualSpacing/>
    </w:pPr>
    <w:rPr/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styleId="Bezproreda1" w:customStyle="1">
    <w:name w:val="Bez proreda1"/>
    <w:uiPriority w:val="1"/>
    <w:qFormat/>
    <w:pPr>
      <w:spacing w:after="0" w:line="240" w:lineRule="auto"/>
    </w:pPr>
    <w:rPr>
      <w:sz w:val="24"/>
      <w:szCs w:val="24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character" w:styleId="Nerijeenospominjanje1" w:customStyle="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29</TotalTime>
  <Pages>2</Pages>
  <Words>605</Words>
  <Characters>3453</Characters>
  <Application>Microsoft Office Word</Application>
  <DocSecurity>0</DocSecurity>
  <Lines>28</Lines>
  <Paragraphs>8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Ana Brničević</cp:lastModifiedBy>
  <cp:lastPrinted>2026-03-16T16:57:00Z</cp:lastPrinted>
  <cp:revision>4</cp:revision>
  <dcterms:created xsi:type="dcterms:W3CDTF">2026-03-16T16:58:00Z</dcterms:created>
  <dcterms:modified xsi:type="dcterms:W3CDTF">2026-05-08T07:25:00Z</dcterms:modified>
</cp:coreProperties>
</file>