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E3A56">
      <w:pPr>
        <w:spacing w:line="259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87744167"/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ascii="Calibri" w:hAnsi="Calibri" w:eastAsia="Calibri" w:cs="Calibri"/>
              </w:rPr>
            </w:pPr>
            <w:bookmarkStart w:id="3" w:name="_Hlk128748807"/>
            <w:r>
              <w:rPr>
                <w:rFonts w:ascii="Calibri" w:hAnsi="Calibri" w:eastAsia="Calibri" w:cs="Calibri"/>
                <w:b/>
                <w:bCs/>
              </w:rPr>
              <w:t xml:space="preserve">OSNOVNA ŠKOLA „JESENICE</w:t>
            </w:r>
            <w:r>
              <w:rPr>
                <w:rFonts w:ascii="Calibri" w:hAnsi="Calibri" w:eastAsia="Calibri" w:cs="Calibri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ascii="Calibri" w:hAnsi="Calibri" w:eastAsia="Calibri" w:cs="Calibri"/>
                <w:noProof/>
                <w:color w:val="000000"/>
                <w:sz w:val="24"/>
                <w:lang w:val="en-US" w:eastAsia="hr-HR"/>
              </w:rPr>
              <w:t xml:space="preserve">112-02/26-01/5</w:t>
            </w:r>
            <w:r>
              <w:rPr>
                <w:rFonts w:ascii="Calibri" w:hAnsi="Calibri" w:eastAsia="Calibri" w:cs="Calibr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hAnsi="Calibri" w:eastAsia="Calibri" w:cs="Calibri"/>
                <w:noProof/>
              </w:rPr>
              <w:t xml:space="preserve">2181-275-02-26-3</w:t>
            </w:r>
            <w:r>
              <w:rPr>
                <w:rFonts w:ascii="Calibri" w:hAnsi="Calibri" w:eastAsia="Calibri" w:cs="Calibri"/>
              </w:rPr>
              <w:t xml:space="preserve">                                                                                                           Dugi Rat, </w:t>
            </w:r>
            <w:r>
              <w:rPr>
                <w:rFonts w:ascii="Calibri" w:hAnsi="Calibri" w:eastAsia="Calibri" w:cs="Calibri"/>
              </w:rPr>
              <w:t xml:space="preserve">7</w:t>
            </w:r>
            <w:r>
              <w:rPr>
                <w:rFonts w:ascii="Calibri" w:hAnsi="Calibri" w:eastAsia="Calibri" w:cs="Calibri"/>
              </w:rPr>
              <w:t xml:space="preserve">.</w:t>
            </w:r>
            <w:r>
              <w:rPr>
                <w:rFonts w:ascii="Calibri" w:hAnsi="Calibri" w:eastAsia="Calibri" w:cs="Calibri"/>
              </w:rPr>
              <w:t xml:space="preserve"> svibnja</w:t>
            </w:r>
            <w:r>
              <w:rPr>
                <w:rFonts w:ascii="Calibri" w:hAnsi="Calibri" w:eastAsia="Calibri" w:cs="Calibri"/>
              </w:rPr>
              <w:t xml:space="preserve"> 2026.g.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>
                <w:rFonts w:ascii="Times New Roman" w:hAnsi="Times New Roman" w:eastAsia="Calibri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bookmarkEnd w:id="3"/>
    <w:p w14:paraId="45B62C9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14. stavka 1. Pravilnika o postupku zapošljavanja te procjeni i vrednovanju kandidata za zapošljavanje Osnovne škole Jesenice, Dugi Rat, Povjerenstvo  za procjenu i vrednovanje kandidata za zapošljavanje upućuje kandidatima</w:t>
      </w:r>
    </w:p>
    <w:p w14:paraId="78D88DB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6C28E6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POZIV   NA  PROCJENU  KANDIDATA</w:t>
      </w:r>
    </w:p>
    <w:p w14:paraId="10DE2AA3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Procjena, odnosno vrednovanja kandidata koji su podnijeli pravodobnu i potpunu prijavu te ispunjavaju uvjete natječaja za zasnivanje radnog odnosa na radnom mjestu </w:t>
      </w:r>
      <w:r>
        <w:rPr>
          <w:rFonts w:cstheme="minorHAnsi"/>
          <w:b/>
          <w:bCs/>
          <w:sz w:val="24"/>
          <w:szCs w:val="24"/>
        </w:rPr>
        <w:t xml:space="preserve">psiholog</w:t>
      </w:r>
      <w:r>
        <w:rPr>
          <w:rFonts w:cstheme="minorHAnsi"/>
          <w:sz w:val="24"/>
          <w:szCs w:val="24"/>
        </w:rPr>
        <w:t xml:space="preserve">, na puno određeno radno vrijeme </w:t>
      </w:r>
      <w:r>
        <w:rPr>
          <w:rFonts w:cstheme="minorHAnsi"/>
          <w:sz w:val="24"/>
          <w:szCs w:val="24"/>
        </w:rPr>
        <w:t xml:space="preserve">(do 31.10.2026.)</w:t>
      </w:r>
      <w:r>
        <w:rPr>
          <w:rFonts w:cstheme="minorHAnsi"/>
          <w:sz w:val="24"/>
          <w:szCs w:val="24"/>
        </w:rPr>
        <w:t xml:space="preserve"> koji je objavljen na mrežnim stranicama Hrvatskog zavoda za zapošljavanje i mrežnoj stranici i oglasnoj ploči Škole dana </w:t>
      </w:r>
      <w:r>
        <w:rPr>
          <w:rFonts w:cstheme="minorHAnsi"/>
          <w:sz w:val="24"/>
          <w:szCs w:val="24"/>
        </w:rPr>
        <w:t xml:space="preserve">1</w:t>
      </w:r>
      <w:r>
        <w:rPr>
          <w:rFonts w:cstheme="minorHAnsi"/>
          <w:sz w:val="24"/>
          <w:szCs w:val="24"/>
        </w:rPr>
        <w:t xml:space="preserve">6.</w:t>
      </w:r>
      <w:r>
        <w:rPr>
          <w:rFonts w:cstheme="minorHAnsi"/>
          <w:sz w:val="24"/>
          <w:szCs w:val="24"/>
        </w:rPr>
        <w:t xml:space="preserve">4</w:t>
      </w:r>
      <w:r>
        <w:rPr>
          <w:rFonts w:cstheme="minorHAnsi"/>
          <w:sz w:val="24"/>
          <w:szCs w:val="24"/>
        </w:rPr>
        <w:t xml:space="preserve">.202</w:t>
      </w:r>
      <w:r>
        <w:rPr>
          <w:rFonts w:cstheme="minorHAnsi"/>
          <w:sz w:val="24"/>
          <w:szCs w:val="24"/>
        </w:rPr>
        <w:t xml:space="preserve">6</w:t>
      </w:r>
      <w:r>
        <w:rPr>
          <w:rFonts w:cstheme="minorHAnsi"/>
          <w:sz w:val="24"/>
          <w:szCs w:val="24"/>
        </w:rPr>
        <w:t xml:space="preserve">. godine, vršit će se   u prostorijama Škole prema sljedećem rasporedu:</w:t>
      </w:r>
    </w:p>
    <w:p w14:paraId="39A60232">
      <w:pPr>
        <w:spacing w:after="0" w:line="240" w:lineRule="auto"/>
        <w:ind w:firstLine="708"/>
        <w:jc w:val="both"/>
        <w:rPr>
          <w:rFonts w:ascii="Calibri" w:hAnsi="Calibri" w:eastAsia="Calibri" w:cs="Calibri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2127"/>
        <w:gridCol w:w="3540"/>
      </w:tblGrid>
      <w:tr>
        <w:trPr>
          <w:jc w:val="center"/>
        </w:trPr>
        <w:tc>
          <w:tcPr>
            <w:tcW w:type="dxa" w:w="1236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DATUM</w:t>
            </w:r>
          </w:p>
        </w:tc>
        <w:tc>
          <w:tcPr>
            <w:tcW w:type="dxa" w:w="2127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SAT</w:t>
            </w:r>
          </w:p>
        </w:tc>
        <w:tc>
          <w:tcPr>
            <w:tcW w:type="dxa" w:w="3540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INICIJALI KANDIDATA</w:t>
            </w:r>
          </w:p>
        </w:tc>
      </w:tr>
      <w:tr>
        <w:trPr>
          <w:jc w:val="center"/>
        </w:trPr>
        <w:tc>
          <w:tcPr>
            <w:tcW w:type="dxa" w:w="1236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14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5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.202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</w:t>
            </w:r>
          </w:p>
        </w:tc>
        <w:tc>
          <w:tcPr>
            <w:tcW w:type="dxa" w:w="2127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09:10</w:t>
            </w:r>
          </w:p>
        </w:tc>
        <w:tc>
          <w:tcPr>
            <w:tcW w:type="dxa" w:w="3540"/>
            <w:tcBorders/>
          </w:tcPr>
          <w:p>
            <w:pPr>
              <w:spacing w:line="276" w:lineRule="auto"/>
              <w:ind w:left="1080"/>
              <w:contextualSpacing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M.P.</w:t>
            </w:r>
          </w:p>
        </w:tc>
      </w:tr>
      <w:tr>
        <w:trPr>
          <w:jc w:val="center"/>
        </w:trPr>
        <w:tc>
          <w:tcPr>
            <w:tcW w:type="dxa" w:w="1236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14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5.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202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</w:t>
            </w:r>
          </w:p>
        </w:tc>
        <w:tc>
          <w:tcPr>
            <w:tcW w:type="dxa" w:w="2127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09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0</w:t>
            </w:r>
          </w:p>
        </w:tc>
        <w:tc>
          <w:tcPr>
            <w:tcW w:type="dxa" w:w="3540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A.L.</w:t>
            </w:r>
          </w:p>
        </w:tc>
      </w:tr>
      <w:tr>
        <w:trPr>
          <w:jc w:val="center"/>
        </w:trPr>
        <w:tc>
          <w:tcPr>
            <w:tcW w:type="dxa" w:w="1236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14.5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.202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6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.</w:t>
            </w:r>
          </w:p>
        </w:tc>
        <w:tc>
          <w:tcPr>
            <w:tcW w:type="dxa" w:w="2127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09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: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0</w:t>
            </w:r>
          </w:p>
        </w:tc>
        <w:tc>
          <w:tcPr>
            <w:tcW w:type="dxa" w:w="3540"/>
            <w:tcBorders/>
          </w:tcPr>
          <w:p>
            <w:pPr>
              <w:spacing w:line="276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K.D.</w:t>
            </w:r>
          </w:p>
        </w:tc>
      </w:tr>
    </w:tbl>
    <w:p w14:paraId="49B8E512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</w:p>
    <w:p w14:paraId="5538BDFA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Vrednovanje kandidata vršit će se usmenom procjenom, odnosno usmenim testiranjem iz </w:t>
      </w:r>
      <w:r>
        <w:rPr>
          <w:rFonts w:eastAsia="Calibri" w:cstheme="minorHAnsi"/>
          <w:sz w:val="24"/>
          <w:szCs w:val="24"/>
        </w:rPr>
        <w:t xml:space="preserve">područja poznavanja propisa koji se odnose na djelatnost osnovnog obrazovanja.</w:t>
      </w:r>
      <w:r>
        <w:rPr>
          <w:rFonts w:cstheme="minorHAnsi"/>
          <w:bCs/>
          <w:sz w:val="24"/>
          <w:szCs w:val="24"/>
        </w:rPr>
        <w:t xml:space="preserve"> Očekivano trajanje usmenog testiranja kandidata je 10 minuta.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7CDD02DF">
      <w:p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Pravni i drugi izvori za pripremu  kandidata:</w:t>
      </w:r>
    </w:p>
    <w:p w14:paraId="45C42A29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Zakon o odgoju i obrazovanju u osnovnoj i srednjoj školi </w:t>
      </w:r>
      <w:r>
        <w:rPr>
          <w:rFonts w:cstheme="minorHAnsi"/>
          <w:color w:val="000000"/>
          <w:sz w:val="24"/>
          <w:szCs w:val="24"/>
        </w:rPr>
        <w:t xml:space="preserve">(„Narodne novine“, br. 87/08., 86/09., 92/10., 105/10., 90/11., 16/12., 86/12., 94/13., 152/14., 7/17, </w:t>
      </w:r>
      <w:r>
        <w:rPr>
          <w:rFonts w:cstheme="minorHAnsi"/>
          <w:bCs/>
          <w:color w:val="000000"/>
          <w:sz w:val="24"/>
          <w:szCs w:val="24"/>
        </w:rPr>
        <w:t xml:space="preserve">68/18, 98/19., 64/20, 151/22, 155/23 i 156/23.</w:t>
      </w:r>
      <w:r>
        <w:rPr>
          <w:rFonts w:cstheme="minorHAnsi"/>
          <w:color w:val="000000"/>
          <w:sz w:val="24"/>
          <w:szCs w:val="24"/>
        </w:rPr>
        <w:t xml:space="preserve">),</w:t>
      </w:r>
    </w:p>
    <w:p w14:paraId="11923832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Pravilnik o načinima, postupcima i elementima vrednovanja učenika u osnovnoj i srednjoj školi („Narodne novine“, br. 112/10. i 82/19.),</w:t>
      </w:r>
    </w:p>
    <w:p w14:paraId="31828CB7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Pravilnik o kriterijima za izricanje pedagoških mjera („Narodne novine“, br. 94/15, 3/17</w:t>
      </w:r>
      <w:r>
        <w:rPr>
          <w:rFonts w:cstheme="minorHAnsi"/>
          <w:sz w:val="24"/>
          <w:szCs w:val="24"/>
        </w:rPr>
        <w:t xml:space="preserve">, 22/26</w:t>
      </w:r>
      <w:r>
        <w:rPr>
          <w:rFonts w:cstheme="minorHAnsi"/>
          <w:sz w:val="24"/>
          <w:szCs w:val="24"/>
        </w:rPr>
        <w:t xml:space="preserve">)</w:t>
      </w:r>
    </w:p>
    <w:p w14:paraId="785D04F2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Pravilnik o izvođenju izleta, ekskurzija i drugih odgojno- obrazovnih aktivnosti izvan škole  („Narodne novine“, b. 67/14, 81/15)</w:t>
      </w:r>
    </w:p>
    <w:p w14:paraId="2393A82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A6E44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Kandidat je dužan sa sobom imati osobnu iskaznicu ili drugu identifikacijsku ispravu.</w:t>
      </w:r>
    </w:p>
    <w:p w14:paraId="078FE77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Ako kandidat ne pristupi procjeni odnosno testiranju smatra se da je odustao</w:t>
      </w:r>
      <w:r>
        <w:rPr>
          <w:rFonts w:cstheme="minorHAnsi"/>
          <w:sz w:val="24"/>
          <w:szCs w:val="24"/>
        </w:rPr>
        <w:softHyphen/>
        <w:t xml:space="preserve"/>
      </w:r>
      <w:r>
        <w:rPr>
          <w:rFonts w:cstheme="minorHAnsi"/>
          <w:sz w:val="24"/>
          <w:szCs w:val="24"/>
        </w:rPr>
        <w:softHyphen/>
        <w:t xml:space="preserve"/>
      </w:r>
      <w:r>
        <w:rPr>
          <w:rFonts w:cstheme="minorHAnsi"/>
          <w:sz w:val="24"/>
          <w:szCs w:val="24"/>
        </w:rPr>
        <w:softHyphen/>
        <w:t xml:space="preserve"/>
      </w:r>
      <w:r>
        <w:rPr>
          <w:rFonts w:cstheme="minorHAnsi"/>
          <w:sz w:val="24"/>
          <w:szCs w:val="24"/>
        </w:rPr>
        <w:softHyphen/>
        <w:t xml:space="preserve"/>
      </w:r>
      <w:r>
        <w:rPr>
          <w:rFonts w:cstheme="minorHAnsi"/>
          <w:sz w:val="24"/>
          <w:szCs w:val="24"/>
        </w:rPr>
        <w:t xml:space="preserve"> od prijave na natječaj.</w:t>
      </w:r>
    </w:p>
    <w:p w14:paraId="36AF5CE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Poziv na procjenu, odnosno testiranje objavljen je na mrežnoj stranici Škole dana </w:t>
      </w:r>
      <w:r>
        <w:rPr>
          <w:rFonts w:cstheme="minorHAnsi"/>
          <w:sz w:val="24"/>
          <w:szCs w:val="24"/>
        </w:rPr>
        <w:t xml:space="preserve">8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5.</w:t>
      </w:r>
      <w:r>
        <w:rPr>
          <w:rFonts w:cstheme="minorHAnsi"/>
          <w:sz w:val="24"/>
          <w:szCs w:val="24"/>
        </w:rPr>
        <w:t xml:space="preserve">202</w:t>
      </w:r>
      <w:r>
        <w:rPr>
          <w:rFonts w:cstheme="minorHAnsi"/>
          <w:sz w:val="24"/>
          <w:szCs w:val="24"/>
        </w:rPr>
        <w:t xml:space="preserve">6</w:t>
      </w:r>
      <w:r>
        <w:rPr>
          <w:rFonts w:cstheme="minorHAnsi"/>
          <w:sz w:val="24"/>
          <w:szCs w:val="24"/>
        </w:rPr>
        <w:t xml:space="preserve">. godine i dostavljen   kandidatima koji su podnijeli pravodobnu i potpunu prijavu te ispunjavaju  uvjete natječaja, najkasnije 5 dana prije dana određenog za procjenu, odnosno testiranje.                                                                                                                                         </w:t>
      </w:r>
    </w:p>
    <w:p w14:paraId="008CDFBF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14:paraId="3770483A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</w:p>
    <w:p w14:paraId="698FA87E">
      <w:pPr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Predsjednik Povjerenstva za procjenu i </w:t>
      </w:r>
    </w:p>
    <w:p w14:paraId="473FE3C2">
      <w:pPr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vrednovanje kandidata za zapošljavanje:</w:t>
      </w:r>
    </w:p>
    <w:p w14:paraId="79115839">
      <w:pPr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</w:p>
    <w:p w14:paraId="29727F3D">
      <w:pPr>
        <w:spacing w:after="0" w:line="240" w:lineRule="auto"/>
        <w:ind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Mirka Ivanišević</w:t>
      </w:r>
    </w:p>
    <w:p w14:paraId="28881CC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8C5D5E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8AC4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EC5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21F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661465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">
    <w:nsid w:val="2F9518BC"/>
    <w:lvl w:ilvl="0">
      <w:start w:val="1"/>
      <w:numFmt w:val="bullet"/>
      <w:suff w:val="tab"/>
      <w:lvlText w:val=""/>
      <w:pPr>
        <w:spacing/>
        <w:ind w:left="7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9334D8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2</Pages>
  <Words>553</Words>
  <Characters>3153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kunosic</dc:creator>
  <cp:keywords/>
  <dc:description/>
  <cp:lastModifiedBy>Ana Brničević</cp:lastModifiedBy>
  <cp:lastPrinted>2024-10-04T07:04:00Z</cp:lastPrinted>
  <cp:revision>6</cp:revision>
  <dcterms:created xsi:type="dcterms:W3CDTF">2025-10-20T13:57:00Z</dcterms:created>
  <dcterms:modified xsi:type="dcterms:W3CDTF">2026-05-07T13:31:00Z</dcterms:modified>
</cp:coreProperties>
</file>